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81" w:rsidRDefault="00B44C81" w:rsidP="00B44C81">
      <w:pPr>
        <w:pStyle w:val="Heading1"/>
        <w:spacing w:before="0" w:line="240" w:lineRule="auto"/>
        <w:rPr>
          <w:rStyle w:val="ax"/>
          <w:rFonts w:ascii="Times New Roman" w:hAnsi="Times New Roman" w:cs="Times New Roman"/>
          <w:color w:val="000000"/>
          <w:sz w:val="26"/>
          <w:szCs w:val="26"/>
        </w:rPr>
      </w:pPr>
      <w:bookmarkStart w:id="0" w:name="_Toc123662850"/>
    </w:p>
    <w:p w:rsidR="0099477C" w:rsidRPr="00F63AC6" w:rsidRDefault="0099477C" w:rsidP="0099477C">
      <w:pPr>
        <w:pStyle w:val="Heading1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123662854"/>
      <w:bookmarkEnd w:id="0"/>
      <w:r w:rsidRPr="00F63AC6">
        <w:rPr>
          <w:rStyle w:val="ax"/>
          <w:rFonts w:ascii="Times New Roman" w:hAnsi="Times New Roman" w:cs="Times New Roman"/>
          <w:color w:val="000000"/>
          <w:sz w:val="24"/>
          <w:szCs w:val="24"/>
        </w:rPr>
        <w:t>ANEXA nr. 5</w:t>
      </w:r>
      <w:bookmarkStart w:id="2" w:name="_Hlk123651526"/>
      <w:r w:rsidRPr="00F63AC6">
        <w:rPr>
          <w:rStyle w:val="ax"/>
          <w:rFonts w:ascii="Times New Roman" w:hAnsi="Times New Roman" w:cs="Times New Roman"/>
          <w:color w:val="000000"/>
          <w:sz w:val="24"/>
          <w:szCs w:val="24"/>
        </w:rPr>
        <w:t>:</w:t>
      </w:r>
      <w:r w:rsidRPr="00F63A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3AC6">
        <w:rPr>
          <w:rStyle w:val="tax"/>
          <w:rFonts w:ascii="Times New Roman" w:hAnsi="Times New Roman" w:cs="Times New Roman"/>
          <w:color w:val="000000"/>
          <w:sz w:val="24"/>
          <w:szCs w:val="24"/>
        </w:rPr>
        <w:t>Scenariu de securitate la incendiu preliminar</w:t>
      </w:r>
      <w:bookmarkEnd w:id="1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3580"/>
        <w:gridCol w:w="2806"/>
      </w:tblGrid>
      <w:tr w:rsidR="0099477C" w:rsidRPr="00F63AC6" w:rsidTr="007F724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bookmarkStart w:id="3" w:name="do|ax5|pa1"/>
            <w:bookmarkEnd w:id="3"/>
            <w:r w:rsidRPr="00F63AC6">
              <w:rPr>
                <w:color w:val="000000"/>
              </w:rPr>
              <w:t>1. Caracteristicile construcției sau amenajării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1.1. Datele de identificare</w:t>
            </w: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denumire, proprietar/beneficiar, adresă, nr. de telefon, fax, e-mail etc.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1.2. Destinația</w:t>
            </w: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funcțiuni principale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funcțiuni secundare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funcțiuni conexe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1.3. Categoria de importanță</w:t>
            </w: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1.4. Particularități specifice construcției/amenajării:</w:t>
            </w: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a) tipul clădirii</w:t>
            </w: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civilă (obișnuită, înaltă, foarte înaltă, cu săli aglomerate etc.); de producție sau depozitare (obișnuită, monobloc, blindată etc.), cu funcțiuni mixte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b) tipul parcajului</w:t>
            </w: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Se precizează inclusiv numărul de autovehicule.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c) regimul de înălțime și volumul construcției</w:t>
            </w: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d) aria construită și desfășurată</w:t>
            </w: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e) principalele destinații ale încăperilor și ale spațiilor aferente construcției</w:t>
            </w: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În cazul construcțiilor cu funcțiuni mixte se precizează procentul din aria desfășurată care este ocupat de fiecare funcțiune.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f) compartimente de incendiu</w:t>
            </w: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denumire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aria construită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aria desfășurată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volum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g) număr maxim de utilizatori</w:t>
            </w:r>
          </w:p>
        </w:tc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persoane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număr: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prezența în construcție: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capacitate de autoevacuare: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animale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h) capacități de depozitare</w:t>
            </w: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2. Nivelurile riscului de incendiu estimat, stabilit pentru fiecare încăpere/grup de încăperi similare, spațiu, zonă, compartiment, potrivit reglementărilor tehnice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Valoarea maximă a densității sarcinii termice și/sau proprietățile fizico-chimice ale materialelor și substanțelor utilizate, prelucrate, manipulate sau depozitate, pentru construcții de producție și/sau depozitare; clasele de periculozitate ale materialelor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3. Nivelurile criteriilor de performanță privind securitatea la incendiu</w:t>
            </w:r>
            <w:r w:rsidRPr="00F63AC6">
              <w:rPr>
                <w:color w:val="000000"/>
                <w:vertAlign w:val="superscript"/>
              </w:rPr>
              <w:t>1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3.1. Rezistența și clasa de reacție la foc a celor mai defavorabile elemente</w:t>
            </w:r>
            <w:bookmarkStart w:id="4" w:name="_GoBack"/>
            <w:bookmarkEnd w:id="4"/>
            <w:r w:rsidRPr="00F63AC6">
              <w:rPr>
                <w:color w:val="000000"/>
              </w:rPr>
              <w:t xml:space="preserve"> de construcție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stâlpi, coloane, pereți portanți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pereți interiori nestructurali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pereți exteriori nestructurali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grinzi, planșee, nervuri, acoperișuri terasă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acoperișuri autoportante fără pod (inclusiv contravântuiri), șarpanta acoperișurilor fără pod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panouri de învelitoare și suportul continuu al învelitorii combustibile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3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3.2. Gradul de rezistență la foc/nivel de stabilitate la incendiu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3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3.3. Asigurarea limitării propagării incendiilor la vecinătăți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Se precizează distanțele de siguranță asigurate conform reglementărilor tehnice sau măsurile alternative.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3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3.4. Evacuarea utilizatorilor: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3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a) măsuri pentru asigurarea controlului fumului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de exemplu, instalații de presurizare și alte sisteme de control al fumului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3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b) tipul scărilor, forma și modul de dispunere a treptelor: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interioare, exterioare deschise, rampe drepte sau curbe, cu trepte balansate etc.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3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c) geometria căilor de evacuare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gabarite lățimi, înălțimi, pante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3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d) numărul fluxurilor de evacuare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3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3.5. Măsuri pentru accesul și evacuarea copiilor, persoanelor cu dizabilități, bolnavilor și ale altor categorii de persoane care nu se pot evacua singure în caz de incendiu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3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3.6. Securitatea forțelor de intervenție: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3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a) amenajări pentru accesul forțelor de intervenție în clădire și incintă, pentru autospeciale și pentru ascensoarele de incendiu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3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b) caracteristici tehnice și funcționale ale accesurilor carosabile și ale căilor de intervenție ale autospecialelor, proiectate conform reglementărilor tehnice, regulamentului general de urbanism și reglementărilor specifice de aplicare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numărul de accesuri</w:t>
            </w:r>
          </w:p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dimensiuni/gabarite</w:t>
            </w:r>
          </w:p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trasee</w:t>
            </w:r>
          </w:p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realizare și marcare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3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c) ascensoare de pompieri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tip, număr și caracteristici, amplasare și posibilități de acces, sursa de alimentare cu energie electrică de rezervă, timpul de siguranță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4. Instalații cu rol în asigurarea cerinței fundamentale "securitate la incendiu" - în funcție de nivelul de echipare</w:t>
            </w:r>
            <w:r w:rsidRPr="00F63AC6">
              <w:rPr>
                <w:color w:val="000000"/>
                <w:vertAlign w:val="superscript"/>
              </w:rPr>
              <w:t>1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4.1. Hidranți de incendiu interiori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tipul instalației (apă-apă, aer-aer)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volumul construcției/compartiment de incendiu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număr de jeturi în funcțiune simultană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timp teoretic de funcționare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număr de jeturi pe punct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debit de calcul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presiune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număr de racorduri exterioare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sursa de alimentare cu apă a instalației, cu menționarea, după caz, a volumului rezervei de apă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caracteristici funcționale ale grupului de pompare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4.2. Hidranți de incendiu exteriori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distanțele față de construcție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volumul compartimentului de incendiu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timp teoretic de funcționare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debit de calcul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presiune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sursa de alimentare cu apă a instalației, cu menționarea, după caz, a volumului rezervei de apă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caracteristici funcționale ale grupului de pompare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4.3. Instalații automate de stingere a incendiilor cu sprinklere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soluția tehnică de realizare a instalației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clasa de pericol de incendiu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categoria de depozitare și modul de depozitare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aria maximă acoperită de un sprinkler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densitatea de calcul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aria de declanșare simultană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presiune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sursa de alimentare cu apă a instalației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volumul rezervei de apă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numărul de racorduri exterioare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4.4. Instalații de limitare și stingere a incendiilor cu sprinklere deschise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zona protejată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înălțimea golului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aria/lungimea zonei protejate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timp teoretic de funcționare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intensitate de răcire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intensitatea de stropire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 xml:space="preserve">4.5. Instalații de stingere cu apă </w:t>
            </w:r>
            <w:r w:rsidRPr="00F63AC6">
              <w:rPr>
                <w:color w:val="000000"/>
              </w:rPr>
              <w:lastRenderedPageBreak/>
              <w:t>pulverizată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lastRenderedPageBreak/>
              <w:t>densitate minimă de pulverizare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timp de funcționare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rezerva de apă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4.6. Instalații de stingere cu ceață de apă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debit specific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aria de declanșare simultană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intensitate de pulverizare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intensitate de stingere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rezerva de apă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timp teoretic de funcționare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4.7. Instalații de stingere cu gaze inerte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tipul agentului de stingere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concentrația de stingere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volumul protejat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4.8. Instalații de detectare, semnalizare și alarmare la incendiu (IDSAI)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gradul de acoperire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condiții privind stabilirea zonei de detectare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condiții de amplasare a e.c.s.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alte dispozitive comandate sau supravegheate de e.c.s.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4.9. Instalație de desfumare/evacuare fum și gaze fierbinți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metoda de desfumare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spațiile desfumate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aria spațiului necesar desfumării/suprafața efectivă de desfumare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debitul specific pentru introducere aer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rezistență la foc tubulatură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interacțiuni cu alte sisteme de protecție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4.10. Instalație electrică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pentru alimentarea receptoarelor cu rol de securitate la incendiu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sursa de bază și sursa de rezervă instalație electrică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pentru iluminat de siguranță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tip zone deservite condiții de alimentare și funcționare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dispozitiv de protecție cu curent diferențial rezidual (DDR)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dispozitiv de detectare a defectului de arc electric (AFDD)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4.11. Instalație de protecție împotriva trăsnetului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clasa IPT și SPT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nivel de protecție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metoda de protecție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7C" w:rsidRPr="00F63AC6" w:rsidTr="007F724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5. Măsuri compensatorii propuse în condițiile legii</w:t>
            </w:r>
            <w:r w:rsidRPr="00F63AC6">
              <w:rPr>
                <w:color w:val="000000"/>
                <w:vertAlign w:val="superscript"/>
              </w:rPr>
              <w:t>2</w:t>
            </w:r>
            <w:r w:rsidRPr="00F63AC6">
              <w:rPr>
                <w:color w:val="000000"/>
              </w:rPr>
              <w:t> pentru construcțiile existente care nu pot îndeplini anumite cerințe din punctul de vedere al securității la incendiu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Prevederea din reglementările tehnice de proiectare care nu poate fi respectată</w:t>
            </w: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63AC6">
              <w:rPr>
                <w:color w:val="000000"/>
              </w:rPr>
              <w:t>Măsura compensatorie propusă</w:t>
            </w:r>
          </w:p>
        </w:tc>
      </w:tr>
      <w:tr w:rsidR="0099477C" w:rsidRPr="00F63AC6" w:rsidTr="007F7246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77C" w:rsidRPr="00F63AC6" w:rsidRDefault="0099477C" w:rsidP="007F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77C" w:rsidRPr="00F63AC6" w:rsidRDefault="0099477C" w:rsidP="00994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o|ax5|pa2"/>
      <w:bookmarkEnd w:id="5"/>
      <w:r w:rsidRPr="00F63AC6">
        <w:rPr>
          <w:rStyle w:val="tpa"/>
          <w:rFonts w:ascii="Times New Roman" w:hAnsi="Times New Roman" w:cs="Times New Roman"/>
          <w:color w:val="000000"/>
          <w:sz w:val="24"/>
          <w:szCs w:val="24"/>
        </w:rPr>
        <w:t>___</w:t>
      </w:r>
    </w:p>
    <w:p w:rsidR="0099477C" w:rsidRPr="00F63AC6" w:rsidRDefault="0099477C" w:rsidP="00994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o|ax5|pa3"/>
      <w:bookmarkEnd w:id="6"/>
      <w:r w:rsidRPr="00F63AC6">
        <w:rPr>
          <w:rStyle w:val="tpa"/>
          <w:rFonts w:ascii="Times New Roman" w:hAnsi="Times New Roman" w:cs="Times New Roman"/>
          <w:color w:val="000000"/>
          <w:sz w:val="24"/>
          <w:szCs w:val="24"/>
        </w:rPr>
        <w:t>1În cazul construcțiilor împărțite în mai multe compartimente de incendiu, se vor prezenta datele atât pentru fiecare compartiment de incendiu, cât și pentru întreaga construcție.</w:t>
      </w:r>
    </w:p>
    <w:p w:rsidR="0099477C" w:rsidRPr="00F63AC6" w:rsidRDefault="0099477C" w:rsidP="00994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o|ax5|pa4"/>
      <w:bookmarkEnd w:id="7"/>
      <w:r w:rsidRPr="00F63AC6">
        <w:rPr>
          <w:rStyle w:val="tpa"/>
          <w:rFonts w:ascii="Times New Roman" w:hAnsi="Times New Roman" w:cs="Times New Roman"/>
          <w:color w:val="000000"/>
          <w:sz w:val="24"/>
          <w:szCs w:val="24"/>
        </w:rPr>
        <w:t>2- Art. 13 alin. (3) din Legea nr. </w:t>
      </w:r>
      <w:hyperlink r:id="rId8" w:history="1">
        <w:r w:rsidRPr="00F63AC6">
          <w:rPr>
            <w:rStyle w:val="Hyperlink"/>
            <w:rFonts w:ascii="Times New Roman" w:hAnsi="Times New Roman" w:cs="Times New Roman"/>
            <w:b/>
            <w:bCs/>
            <w:color w:val="333399"/>
            <w:sz w:val="24"/>
            <w:szCs w:val="24"/>
          </w:rPr>
          <w:t>10/1995</w:t>
        </w:r>
      </w:hyperlink>
      <w:r w:rsidRPr="00F63AC6">
        <w:rPr>
          <w:rStyle w:val="tpa"/>
          <w:rFonts w:ascii="Times New Roman" w:hAnsi="Times New Roman" w:cs="Times New Roman"/>
          <w:color w:val="000000"/>
          <w:sz w:val="24"/>
          <w:szCs w:val="24"/>
        </w:rPr>
        <w:t> privind calitatea în construcții, republicată, cu modificările și completările ulterioare, coroborat cu art. 9 și art. 12 din </w:t>
      </w:r>
      <w:hyperlink r:id="rId9" w:history="1">
        <w:r w:rsidRPr="00F63AC6">
          <w:rPr>
            <w:rStyle w:val="Hyperlink"/>
            <w:rFonts w:ascii="Times New Roman" w:hAnsi="Times New Roman" w:cs="Times New Roman"/>
            <w:b/>
            <w:bCs/>
            <w:color w:val="333399"/>
            <w:sz w:val="24"/>
            <w:szCs w:val="24"/>
          </w:rPr>
          <w:t>Regulamentul privind verificarea și expertizarea tehnică a proiectelor, expertizarea tehnică a execuției lucrărilor și a construcțiilor, precum și verificarea calității lucrărilor executate</w:t>
        </w:r>
      </w:hyperlink>
      <w:r w:rsidRPr="00F63AC6">
        <w:rPr>
          <w:rStyle w:val="tpa"/>
          <w:rFonts w:ascii="Times New Roman" w:hAnsi="Times New Roman" w:cs="Times New Roman"/>
          <w:color w:val="000000"/>
          <w:sz w:val="24"/>
          <w:szCs w:val="24"/>
        </w:rPr>
        <w:t>, aprobat prin Hotărârea Guvernului nr. </w:t>
      </w:r>
      <w:hyperlink r:id="rId10" w:history="1">
        <w:r w:rsidRPr="00F63AC6">
          <w:rPr>
            <w:rStyle w:val="Hyperlink"/>
            <w:rFonts w:ascii="Times New Roman" w:hAnsi="Times New Roman" w:cs="Times New Roman"/>
            <w:b/>
            <w:bCs/>
            <w:color w:val="333399"/>
            <w:sz w:val="24"/>
            <w:szCs w:val="24"/>
          </w:rPr>
          <w:t>925/1995</w:t>
        </w:r>
      </w:hyperlink>
      <w:r w:rsidRPr="00F63AC6">
        <w:rPr>
          <w:rStyle w:val="tpa"/>
          <w:rFonts w:ascii="Times New Roman" w:hAnsi="Times New Roman" w:cs="Times New Roman"/>
          <w:color w:val="000000"/>
          <w:sz w:val="24"/>
          <w:szCs w:val="24"/>
        </w:rPr>
        <w:t>, cu modificările ulterioare.</w:t>
      </w:r>
    </w:p>
    <w:p w:rsidR="0099477C" w:rsidRPr="00F63AC6" w:rsidRDefault="0099477C" w:rsidP="00994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do|ax5|pa5"/>
      <w:bookmarkEnd w:id="8"/>
      <w:r w:rsidRPr="00F63AC6">
        <w:rPr>
          <w:rStyle w:val="tpa"/>
          <w:rFonts w:ascii="Times New Roman" w:hAnsi="Times New Roman" w:cs="Times New Roman"/>
          <w:color w:val="000000"/>
          <w:sz w:val="24"/>
          <w:szCs w:val="24"/>
        </w:rPr>
        <w:t>Proiectanți</w:t>
      </w:r>
    </w:p>
    <w:p w:rsidR="0099477C" w:rsidRPr="00F63AC6" w:rsidRDefault="0099477C" w:rsidP="00994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do|ax5|pa6"/>
      <w:bookmarkEnd w:id="9"/>
      <w:r w:rsidRPr="00F63AC6">
        <w:rPr>
          <w:rStyle w:val="tpa"/>
          <w:rFonts w:ascii="Times New Roman" w:hAnsi="Times New Roman" w:cs="Times New Roman"/>
          <w:color w:val="000000"/>
          <w:sz w:val="24"/>
          <w:szCs w:val="24"/>
        </w:rPr>
        <w:t>......................................</w:t>
      </w:r>
    </w:p>
    <w:p w:rsidR="0099477C" w:rsidRPr="00F63AC6" w:rsidRDefault="0099477C" w:rsidP="00994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o|ax5|pa7"/>
      <w:bookmarkEnd w:id="10"/>
      <w:r w:rsidRPr="00F63AC6">
        <w:rPr>
          <w:rStyle w:val="tpa"/>
          <w:rFonts w:ascii="Times New Roman" w:hAnsi="Times New Roman" w:cs="Times New Roman"/>
          <w:color w:val="000000"/>
          <w:sz w:val="24"/>
          <w:szCs w:val="24"/>
        </w:rPr>
        <w:t>......................................</w:t>
      </w:r>
    </w:p>
    <w:p w:rsidR="0099477C" w:rsidRPr="00F63AC6" w:rsidRDefault="0099477C" w:rsidP="00994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do|ax5|pa8"/>
      <w:bookmarkEnd w:id="11"/>
      <w:r w:rsidRPr="00F63AC6">
        <w:rPr>
          <w:rStyle w:val="tpa"/>
          <w:rFonts w:ascii="Times New Roman" w:hAnsi="Times New Roman" w:cs="Times New Roman"/>
          <w:color w:val="000000"/>
          <w:sz w:val="24"/>
          <w:szCs w:val="24"/>
        </w:rPr>
        <w:t>......................................</w:t>
      </w:r>
    </w:p>
    <w:p w:rsidR="0099477C" w:rsidRPr="00F63AC6" w:rsidRDefault="0099477C" w:rsidP="00994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do|ax5|pa9"/>
      <w:bookmarkEnd w:id="12"/>
      <w:r w:rsidRPr="00F63AC6">
        <w:rPr>
          <w:rStyle w:val="tpa"/>
          <w:rFonts w:ascii="Times New Roman" w:hAnsi="Times New Roman" w:cs="Times New Roman"/>
          <w:color w:val="000000"/>
          <w:sz w:val="24"/>
          <w:szCs w:val="24"/>
        </w:rPr>
        <w:t>......................................</w:t>
      </w:r>
    </w:p>
    <w:p w:rsidR="0099477C" w:rsidRPr="00F63AC6" w:rsidRDefault="0099477C" w:rsidP="0099477C">
      <w:pPr>
        <w:spacing w:after="0" w:line="240" w:lineRule="auto"/>
        <w:jc w:val="both"/>
        <w:rPr>
          <w:rStyle w:val="tpa"/>
          <w:rFonts w:ascii="Times New Roman" w:hAnsi="Times New Roman" w:cs="Times New Roman"/>
          <w:color w:val="000000"/>
          <w:sz w:val="24"/>
          <w:szCs w:val="24"/>
        </w:rPr>
      </w:pPr>
      <w:bookmarkStart w:id="13" w:name="do|ax5|pa10"/>
      <w:bookmarkEnd w:id="13"/>
      <w:r w:rsidRPr="00F63AC6">
        <w:rPr>
          <w:rStyle w:val="tpa"/>
          <w:rFonts w:ascii="Times New Roman" w:hAnsi="Times New Roman" w:cs="Times New Roman"/>
          <w:color w:val="000000"/>
          <w:sz w:val="24"/>
          <w:szCs w:val="24"/>
        </w:rPr>
        <w:t>......................................</w:t>
      </w:r>
    </w:p>
    <w:p w:rsidR="0099477C" w:rsidRPr="00F63AC6" w:rsidRDefault="0099477C" w:rsidP="0099477C">
      <w:pPr>
        <w:spacing w:after="0" w:line="240" w:lineRule="auto"/>
        <w:jc w:val="both"/>
        <w:rPr>
          <w:rStyle w:val="tpa"/>
          <w:rFonts w:ascii="Times New Roman" w:hAnsi="Times New Roman" w:cs="Times New Roman"/>
          <w:color w:val="000000"/>
          <w:sz w:val="24"/>
          <w:szCs w:val="24"/>
        </w:rPr>
      </w:pPr>
    </w:p>
    <w:bookmarkEnd w:id="2"/>
    <w:p w:rsidR="00B44C81" w:rsidRDefault="00B44C81" w:rsidP="00B44C8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12B66" w:rsidRDefault="00112B66"/>
    <w:sectPr w:rsidR="00112B66" w:rsidSect="00B16B19">
      <w:headerReference w:type="default" r:id="rId11"/>
      <w:footerReference w:type="default" r:id="rId12"/>
      <w:pgSz w:w="11906" w:h="16838"/>
      <w:pgMar w:top="969" w:right="566" w:bottom="1843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B6" w:rsidRDefault="004B59B6" w:rsidP="00B44C81">
      <w:pPr>
        <w:spacing w:after="0" w:line="240" w:lineRule="auto"/>
      </w:pPr>
      <w:r>
        <w:separator/>
      </w:r>
    </w:p>
  </w:endnote>
  <w:endnote w:type="continuationSeparator" w:id="0">
    <w:p w:rsidR="004B59B6" w:rsidRDefault="004B59B6" w:rsidP="00B4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832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B19" w:rsidRDefault="00B16B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B19" w:rsidRDefault="00B16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B6" w:rsidRDefault="004B59B6" w:rsidP="00B44C81">
      <w:pPr>
        <w:spacing w:after="0" w:line="240" w:lineRule="auto"/>
      </w:pPr>
      <w:r>
        <w:separator/>
      </w:r>
    </w:p>
  </w:footnote>
  <w:footnote w:type="continuationSeparator" w:id="0">
    <w:p w:rsidR="004B59B6" w:rsidRDefault="004B59B6" w:rsidP="00B4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aps/>
        <w:color w:val="FFFFFF" w:themeColor="background1"/>
        <w:sz w:val="20"/>
        <w:szCs w:val="20"/>
      </w:rPr>
      <w:alias w:val="Title"/>
      <w:tag w:val=""/>
      <w:id w:val="1189017394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44C81" w:rsidRPr="003A7A40" w:rsidRDefault="00B44C81" w:rsidP="00B44C81">
        <w:pPr>
          <w:pStyle w:val="Header"/>
          <w:jc w:val="center"/>
          <w:rPr>
            <w:rFonts w:ascii="Times New Roman" w:hAnsi="Times New Roman" w:cs="Times New Roman"/>
            <w:caps/>
            <w:color w:val="FFFFFF" w:themeColor="background1"/>
            <w:sz w:val="20"/>
            <w:szCs w:val="20"/>
          </w:rPr>
        </w:pPr>
        <w:r>
          <w:rPr>
            <w:rFonts w:ascii="Times New Roman" w:hAnsi="Times New Roman" w:cs="Times New Roman"/>
            <w:caps/>
            <w:color w:val="FFFFFF" w:themeColor="background1"/>
            <w:sz w:val="20"/>
            <w:szCs w:val="20"/>
          </w:rPr>
          <w:t xml:space="preserve">     </w:t>
        </w:r>
      </w:p>
    </w:sdtContent>
  </w:sdt>
  <w:p w:rsidR="00B44C81" w:rsidRDefault="00B44C81">
    <w:pPr>
      <w:pStyle w:val="Header"/>
      <w:rPr>
        <w:rFonts w:ascii="Times New Roman" w:hAnsi="Times New Roman" w:cs="Times New Roman"/>
        <w:szCs w:val="24"/>
      </w:rPr>
    </w:pPr>
  </w:p>
  <w:p w:rsidR="00B44C81" w:rsidRPr="00B44C81" w:rsidRDefault="00B44C81">
    <w:pPr>
      <w:pStyle w:val="Header"/>
      <w:rPr>
        <w:rFonts w:ascii="Times New Roman" w:hAnsi="Times New Roman" w:cs="Times New Roman"/>
        <w:color w:val="FFFFFF" w:themeColor="background1"/>
        <w:szCs w:val="24"/>
      </w:rPr>
    </w:pPr>
    <w:r w:rsidRPr="00B44C81">
      <w:rPr>
        <w:noProof/>
        <w:color w:val="FFFFFF" w:themeColor="background1"/>
        <w:sz w:val="20"/>
        <w:lang w:eastAsia="ro-RO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2697CB5" wp14:editId="63E211F4">
              <wp:simplePos x="0" y="0"/>
              <wp:positionH relativeFrom="margin">
                <wp:posOffset>-40640</wp:posOffset>
              </wp:positionH>
              <wp:positionV relativeFrom="page">
                <wp:posOffset>332740</wp:posOffset>
              </wp:positionV>
              <wp:extent cx="6871335" cy="428625"/>
              <wp:effectExtent l="0" t="0" r="571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1335" cy="428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alias w:val="Title"/>
                            <w:tag w:val=""/>
                            <w:id w:val="26180320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44C81" w:rsidRPr="003A7A40" w:rsidRDefault="00B44C81" w:rsidP="00B44C81">
                              <w:pPr>
                                <w:pStyle w:val="Header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3.2pt;margin-top:26.2pt;width:541.05pt;height:33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0"/>
                        <w:szCs w:val="20"/>
                      </w:rPr>
                      <w:alias w:val="Title"/>
                      <w:tag w:val=""/>
                      <w:id w:val="26180320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44C81" w:rsidRPr="003A7A40" w:rsidRDefault="00B44C81" w:rsidP="00B44C81">
                        <w:pPr>
                          <w:pStyle w:val="Header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B44C81">
      <w:rPr>
        <w:rFonts w:ascii="Times New Roman" w:hAnsi="Times New Roman" w:cs="Times New Roman"/>
        <w:color w:val="FFFFFF" w:themeColor="background1"/>
        <w:szCs w:val="24"/>
      </w:rPr>
      <w:t>OMAI 180 DIN 29 NOIEMBRIE 2022 Normelor vizarea şi autorizarea de securitate la incendiu şi protecţie civilă</w:t>
    </w:r>
  </w:p>
  <w:p w:rsidR="00B44C81" w:rsidRDefault="00B44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D4"/>
    <w:rsid w:val="00112B66"/>
    <w:rsid w:val="00243AD4"/>
    <w:rsid w:val="004B59B6"/>
    <w:rsid w:val="00534D8F"/>
    <w:rsid w:val="0073159F"/>
    <w:rsid w:val="007D137F"/>
    <w:rsid w:val="0099477C"/>
    <w:rsid w:val="00B16B19"/>
    <w:rsid w:val="00B44C81"/>
    <w:rsid w:val="00E02253"/>
    <w:rsid w:val="00F63AC6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7C"/>
  </w:style>
  <w:style w:type="paragraph" w:styleId="Heading1">
    <w:name w:val="heading 1"/>
    <w:basedOn w:val="Normal"/>
    <w:next w:val="Normal"/>
    <w:link w:val="Heading1Char"/>
    <w:uiPriority w:val="9"/>
    <w:qFormat/>
    <w:rsid w:val="00B44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x">
    <w:name w:val="ax"/>
    <w:basedOn w:val="DefaultParagraphFont"/>
    <w:rsid w:val="00B44C81"/>
  </w:style>
  <w:style w:type="character" w:customStyle="1" w:styleId="tax">
    <w:name w:val="tax"/>
    <w:basedOn w:val="DefaultParagraphFont"/>
    <w:rsid w:val="00B44C81"/>
  </w:style>
  <w:style w:type="paragraph" w:styleId="BalloonText">
    <w:name w:val="Balloon Text"/>
    <w:basedOn w:val="Normal"/>
    <w:link w:val="BalloonTextChar"/>
    <w:uiPriority w:val="99"/>
    <w:semiHidden/>
    <w:unhideWhenUsed/>
    <w:rsid w:val="00B4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81"/>
  </w:style>
  <w:style w:type="paragraph" w:styleId="Footer">
    <w:name w:val="footer"/>
    <w:basedOn w:val="Normal"/>
    <w:link w:val="FooterChar"/>
    <w:uiPriority w:val="99"/>
    <w:unhideWhenUsed/>
    <w:rsid w:val="00B4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81"/>
  </w:style>
  <w:style w:type="character" w:styleId="Hyperlink">
    <w:name w:val="Hyperlink"/>
    <w:basedOn w:val="DefaultParagraphFont"/>
    <w:uiPriority w:val="99"/>
    <w:unhideWhenUsed/>
    <w:rsid w:val="0073159F"/>
    <w:rPr>
      <w:color w:val="0000FF" w:themeColor="hyperlink"/>
      <w:u w:val="single"/>
    </w:rPr>
  </w:style>
  <w:style w:type="character" w:customStyle="1" w:styleId="tli">
    <w:name w:val="tli"/>
    <w:basedOn w:val="DefaultParagraphFont"/>
    <w:rsid w:val="0073159F"/>
  </w:style>
  <w:style w:type="character" w:customStyle="1" w:styleId="tpa">
    <w:name w:val="tpa"/>
    <w:basedOn w:val="DefaultParagraphFont"/>
    <w:rsid w:val="0073159F"/>
  </w:style>
  <w:style w:type="character" w:customStyle="1" w:styleId="al">
    <w:name w:val="al"/>
    <w:basedOn w:val="DefaultParagraphFont"/>
    <w:rsid w:val="0073159F"/>
  </w:style>
  <w:style w:type="character" w:customStyle="1" w:styleId="tal">
    <w:name w:val="tal"/>
    <w:basedOn w:val="DefaultParagraphFont"/>
    <w:rsid w:val="0073159F"/>
  </w:style>
  <w:style w:type="character" w:customStyle="1" w:styleId="li">
    <w:name w:val="li"/>
    <w:basedOn w:val="DefaultParagraphFont"/>
    <w:rsid w:val="0073159F"/>
  </w:style>
  <w:style w:type="character" w:customStyle="1" w:styleId="sp">
    <w:name w:val="sp"/>
    <w:basedOn w:val="DefaultParagraphFont"/>
    <w:rsid w:val="0073159F"/>
  </w:style>
  <w:style w:type="character" w:customStyle="1" w:styleId="tsp">
    <w:name w:val="tsp"/>
    <w:basedOn w:val="DefaultParagraphFont"/>
    <w:rsid w:val="0073159F"/>
  </w:style>
  <w:style w:type="character" w:customStyle="1" w:styleId="pt">
    <w:name w:val="pt"/>
    <w:basedOn w:val="DefaultParagraphFont"/>
    <w:rsid w:val="0073159F"/>
  </w:style>
  <w:style w:type="character" w:customStyle="1" w:styleId="tpt">
    <w:name w:val="tpt"/>
    <w:basedOn w:val="DefaultParagraphFont"/>
    <w:rsid w:val="0073159F"/>
  </w:style>
  <w:style w:type="paragraph" w:styleId="NormalWeb">
    <w:name w:val="Normal (Web)"/>
    <w:basedOn w:val="Normal"/>
    <w:uiPriority w:val="99"/>
    <w:semiHidden/>
    <w:unhideWhenUsed/>
    <w:rsid w:val="009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7C"/>
  </w:style>
  <w:style w:type="paragraph" w:styleId="Heading1">
    <w:name w:val="heading 1"/>
    <w:basedOn w:val="Normal"/>
    <w:next w:val="Normal"/>
    <w:link w:val="Heading1Char"/>
    <w:uiPriority w:val="9"/>
    <w:qFormat/>
    <w:rsid w:val="00B44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x">
    <w:name w:val="ax"/>
    <w:basedOn w:val="DefaultParagraphFont"/>
    <w:rsid w:val="00B44C81"/>
  </w:style>
  <w:style w:type="character" w:customStyle="1" w:styleId="tax">
    <w:name w:val="tax"/>
    <w:basedOn w:val="DefaultParagraphFont"/>
    <w:rsid w:val="00B44C81"/>
  </w:style>
  <w:style w:type="paragraph" w:styleId="BalloonText">
    <w:name w:val="Balloon Text"/>
    <w:basedOn w:val="Normal"/>
    <w:link w:val="BalloonTextChar"/>
    <w:uiPriority w:val="99"/>
    <w:semiHidden/>
    <w:unhideWhenUsed/>
    <w:rsid w:val="00B4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81"/>
  </w:style>
  <w:style w:type="paragraph" w:styleId="Footer">
    <w:name w:val="footer"/>
    <w:basedOn w:val="Normal"/>
    <w:link w:val="FooterChar"/>
    <w:uiPriority w:val="99"/>
    <w:unhideWhenUsed/>
    <w:rsid w:val="00B4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81"/>
  </w:style>
  <w:style w:type="character" w:styleId="Hyperlink">
    <w:name w:val="Hyperlink"/>
    <w:basedOn w:val="DefaultParagraphFont"/>
    <w:uiPriority w:val="99"/>
    <w:unhideWhenUsed/>
    <w:rsid w:val="0073159F"/>
    <w:rPr>
      <w:color w:val="0000FF" w:themeColor="hyperlink"/>
      <w:u w:val="single"/>
    </w:rPr>
  </w:style>
  <w:style w:type="character" w:customStyle="1" w:styleId="tli">
    <w:name w:val="tli"/>
    <w:basedOn w:val="DefaultParagraphFont"/>
    <w:rsid w:val="0073159F"/>
  </w:style>
  <w:style w:type="character" w:customStyle="1" w:styleId="tpa">
    <w:name w:val="tpa"/>
    <w:basedOn w:val="DefaultParagraphFont"/>
    <w:rsid w:val="0073159F"/>
  </w:style>
  <w:style w:type="character" w:customStyle="1" w:styleId="al">
    <w:name w:val="al"/>
    <w:basedOn w:val="DefaultParagraphFont"/>
    <w:rsid w:val="0073159F"/>
  </w:style>
  <w:style w:type="character" w:customStyle="1" w:styleId="tal">
    <w:name w:val="tal"/>
    <w:basedOn w:val="DefaultParagraphFont"/>
    <w:rsid w:val="0073159F"/>
  </w:style>
  <w:style w:type="character" w:customStyle="1" w:styleId="li">
    <w:name w:val="li"/>
    <w:basedOn w:val="DefaultParagraphFont"/>
    <w:rsid w:val="0073159F"/>
  </w:style>
  <w:style w:type="character" w:customStyle="1" w:styleId="sp">
    <w:name w:val="sp"/>
    <w:basedOn w:val="DefaultParagraphFont"/>
    <w:rsid w:val="0073159F"/>
  </w:style>
  <w:style w:type="character" w:customStyle="1" w:styleId="tsp">
    <w:name w:val="tsp"/>
    <w:basedOn w:val="DefaultParagraphFont"/>
    <w:rsid w:val="0073159F"/>
  </w:style>
  <w:style w:type="character" w:customStyle="1" w:styleId="pt">
    <w:name w:val="pt"/>
    <w:basedOn w:val="DefaultParagraphFont"/>
    <w:rsid w:val="0073159F"/>
  </w:style>
  <w:style w:type="character" w:customStyle="1" w:styleId="tpt">
    <w:name w:val="tpt"/>
    <w:basedOn w:val="DefaultParagraphFont"/>
    <w:rsid w:val="0073159F"/>
  </w:style>
  <w:style w:type="paragraph" w:styleId="NormalWeb">
    <w:name w:val="Normal (Web)"/>
    <w:basedOn w:val="Normal"/>
    <w:uiPriority w:val="99"/>
    <w:semiHidden/>
    <w:unhideWhenUsed/>
    <w:rsid w:val="009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80755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drept.ro/0001451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ept.ro/0006088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C1C6-C6B3-4B09-9A81-53A2C103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Boita</dc:creator>
  <cp:keywords/>
  <dc:description/>
  <cp:lastModifiedBy>Cosmin Boita</cp:lastModifiedBy>
  <cp:revision>8</cp:revision>
  <dcterms:created xsi:type="dcterms:W3CDTF">2023-01-16T08:33:00Z</dcterms:created>
  <dcterms:modified xsi:type="dcterms:W3CDTF">2023-01-16T09:08:00Z</dcterms:modified>
</cp:coreProperties>
</file>